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jc w:val="center"/>
        <w:outlineLvl w:val="0"/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>Ogólnopolska Karta Dużej Rodziny</w:t>
      </w:r>
    </w:p>
    <w:p>
      <w:pPr>
        <w:pStyle w:val="Normal"/>
        <w:spacing w:lineRule="auto" w:line="240" w:beforeAutospacing="1" w:afterAutospacing="1"/>
        <w:jc w:val="center"/>
        <w:outlineLvl w:val="0"/>
        <w:rPr/>
      </w:pPr>
      <w:r>
        <w:rPr/>
        <w:drawing>
          <wp:inline distT="0" distB="0" distL="0" distR="0">
            <wp:extent cx="2667000" cy="25527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Karta Dużej Rodziny przysługuje rodzinom z trójką dzieci, także rodzinom zastępczym </w:t>
        <w:br/>
        <w:t xml:space="preserve">            i rodzinnym domom dziecka. Rodzicom karta wydawana jest dożywotnio, dzieciom </w:t>
        <w:br/>
        <w:t xml:space="preserve">            do  ukończenia 18 lub 25 lat w przypadku kontynuowania nauki.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Osoby niepełnosprawne otrzymają kartę na czas trwania orzeczenia o niepełnosprawności.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Karta przyznawana jest bezpłatnie i bez względu na dochód.</w:t>
      </w:r>
    </w:p>
    <w:p>
      <w:pPr>
        <w:pStyle w:val="Normal"/>
        <w:spacing w:lineRule="auto" w:line="240" w:beforeAutospacing="1" w:afterAutospacing="1"/>
        <w:jc w:val="both"/>
        <w:rPr>
          <w:rStyle w:val="Czeinternetowe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Już od 16 czerwca 2014 r. Ośrodek Pomocy Społecznej w Trawnikach przyjmuje wnioski </w:t>
        <w:br/>
        <w:t xml:space="preserve">o wydanie Karty Dużej Rodziny. Aktualne informacje o programie, są dostępne na stronie internetowej: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 xml:space="preserve">https://rodzina.gov.pl/duza-rodzina </w:t>
        </w:r>
      </w:hyperlink>
    </w:p>
    <w:p>
      <w:pPr>
        <w:pStyle w:val="Normal"/>
        <w:spacing w:lineRule="auto" w:line="240" w:beforeAutospacing="1" w:afterAutospacing="1"/>
        <w:rPr>
          <w:rStyle w:val="Odwiedzoneczeinternetowe"/>
          <w:rFonts w:eastAsia="Times New Roman" w:cs="Times New Roman" w:ascii="Times New Roman" w:hAnsi="Times New Roman"/>
          <w:b/>
          <w:bCs/>
          <w:color w:val="A52A2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52A2A"/>
          <w:sz w:val="24"/>
          <w:szCs w:val="24"/>
          <w:lang w:eastAsia="pl-PL"/>
        </w:rPr>
        <w:t xml:space="preserve">Wniosek o wydanie OKDR: </w:t>
      </w:r>
      <w:hyperlink r:id="rId4">
        <w:r>
          <w:rPr>
            <w:rStyle w:val="Odwiedzoneczeinternetowe"/>
            <w:rFonts w:eastAsia="Times New Roman" w:cs="Times New Roman" w:ascii="Times New Roman" w:hAnsi="Times New Roman"/>
            <w:b/>
            <w:bCs/>
            <w:color w:val="A52A2A"/>
            <w:sz w:val="24"/>
            <w:szCs w:val="24"/>
            <w:lang w:eastAsia="pl-PL"/>
          </w:rPr>
          <w:t>link do wzoru wniosku</w:t>
        </w:r>
      </w:hyperlink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color w:val="B2222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B22222"/>
          <w:sz w:val="24"/>
          <w:szCs w:val="24"/>
          <w:lang w:eastAsia="pl-PL"/>
        </w:rPr>
        <w:t>Składając wniosek o przyznanie Karty, okazuje się oryginały lub odpisy dokumentów potwierdzających uprawnienie do przyznania Karty, w szczególności: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 w przypadku rodzica oraz małżonka rodzica - dokument potwierdzający tożsamość;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w przypadku dzieci w wieku do ukończenia 18. roku życia - akt urodzenia lub dokument potwierdzający tożsamość;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3) w przypadku dzieci w wieku powyżej 18. roku życia - dokument potwierdzający tożsamość oraz zaświadczenie ze szkoły lub szkoły wyższej o planowanym terminie ukończenia nauki w danej placówce;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4) w przypadku dzieci legitymujących się orzeczeniem o umiarkowanym albo znacznym stopniu niepełnosprawności w wieku powyżej 18. roku życia - dokument potwierdzający tożsamość oraz orzeczenie o umiarkowanym albo znacznym stopniu niepełnosprawności;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5) w przypadku dzieci umieszczonych w rodzinie zastępczej lub rodzinnym domu dziecka - postanowienie o umieszczeniu w rodzinie zastępczej lub rodzinnym domu dziecka;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6) w przypadku osób, o których mowa w art. 37 ust. 2 ustawy z dnia 9 czerwca 2011 r. </w:t>
        <w:br/>
        <w:t xml:space="preserve">o wspieraniu rodziny i systemie pieczy zastępczej - zaświadczenie o pozostawaniu </w:t>
        <w:br/>
        <w:t>w dotychczasowej rodzinie zastępczej lub rodzinnym domu dziecka;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7) składając wniosek o wydanie duplikatu Karty, okazuje się dokument potwierdzający tożsamość lub,           w przypadku dziecka, odpis aktu urodzenia. </w:t>
      </w:r>
      <w:r>
        <w:rPr>
          <w:rFonts w:cs="Times New Roman" w:ascii="Times New Roman" w:hAnsi="Times New Roman"/>
          <w:sz w:val="23"/>
          <w:szCs w:val="23"/>
        </w:rPr>
        <w:t>Wydanie duplikatu Karty podlega opłacie w wysokości 8,76 zł.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A52A2A"/>
          <w:sz w:val="21"/>
          <w:szCs w:val="21"/>
          <w:lang w:eastAsia="pl-PL"/>
        </w:rPr>
        <w:t>Wnioski można pobrać również osobiście w siedzibie tut. OPS.</w:t>
        <w:br/>
        <w:t xml:space="preserve">Wnioski </w:t>
      </w:r>
      <w:r>
        <w:rPr>
          <w:rFonts w:eastAsia="Times New Roman" w:cs="Times New Roman" w:ascii="Times New Roman" w:hAnsi="Times New Roman"/>
          <w:b/>
          <w:bCs/>
          <w:i/>
          <w:iCs/>
          <w:color w:val="A52A2A"/>
          <w:sz w:val="21"/>
          <w:szCs w:val="21"/>
          <w:u w:val="single"/>
          <w:lang w:eastAsia="pl-PL"/>
        </w:rPr>
        <w:t>należy składać osobiście</w:t>
      </w:r>
      <w:r>
        <w:rPr>
          <w:rFonts w:eastAsia="Times New Roman" w:cs="Times New Roman" w:ascii="Times New Roman" w:hAnsi="Times New Roman"/>
          <w:i/>
          <w:iCs/>
          <w:color w:val="A52A2A"/>
          <w:sz w:val="21"/>
          <w:szCs w:val="21"/>
          <w:lang w:eastAsia="pl-PL"/>
        </w:rPr>
        <w:t xml:space="preserve"> w siedzibie tut. Ośrodka w godzinach pracy.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A52A2A"/>
          <w:sz w:val="21"/>
          <w:szCs w:val="21"/>
          <w:u w:val="single"/>
          <w:lang w:eastAsia="pl-PL"/>
        </w:rPr>
        <w:t>Karty będzie można odebrać osobiście</w:t>
      </w:r>
      <w:r>
        <w:rPr>
          <w:rFonts w:eastAsia="Times New Roman" w:cs="Times New Roman" w:ascii="Times New Roman" w:hAnsi="Times New Roman"/>
          <w:i/>
          <w:iCs/>
          <w:color w:val="A52A2A"/>
          <w:sz w:val="21"/>
          <w:szCs w:val="21"/>
          <w:lang w:eastAsia="pl-PL"/>
        </w:rPr>
        <w:t xml:space="preserve"> z dokumentem tożsamości w OPS w Trawnikach </w:t>
      </w:r>
      <w:r>
        <w:rPr>
          <w:rFonts w:eastAsia="Times New Roman" w:cs="Times New Roman" w:ascii="Times New Roman" w:hAnsi="Times New Roman"/>
          <w:b/>
          <w:bCs/>
          <w:i/>
          <w:iCs/>
          <w:color w:val="A52A2A"/>
          <w:sz w:val="21"/>
          <w:szCs w:val="21"/>
          <w:u w:val="single"/>
          <w:lang w:eastAsia="pl-PL"/>
        </w:rPr>
        <w:t xml:space="preserve"> po wcześniejszym telefonicznym upewnieniu się czy są już do odebrania</w:t>
      </w:r>
      <w:r>
        <w:rPr>
          <w:rFonts w:eastAsia="Times New Roman" w:cs="Times New Roman" w:ascii="Times New Roman" w:hAnsi="Times New Roman"/>
          <w:i/>
          <w:iCs/>
          <w:color w:val="A52A2A"/>
          <w:sz w:val="21"/>
          <w:szCs w:val="21"/>
          <w:lang w:eastAsia="pl-PL"/>
        </w:rPr>
        <w:t>. Informacje na ten temat pod nr telefonu 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A52A2A"/>
          <w:sz w:val="21"/>
          <w:szCs w:val="21"/>
          <w:lang w:eastAsia="pl-PL"/>
        </w:rPr>
        <w:t>81  5856047.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4f0fc3"/>
    <w:basedOn w:val="DefaultParagraphFont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4f0fc3"/>
    <w:basedOn w:val="DefaultParagraphFont"/>
    <w:rPr>
      <w:color w:val="0000FF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alibri" w:hAnsi="Calibri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ascii="Calibri" w:hAnsi="Calibri" w:cs="Mangal"/>
    </w:rPr>
  </w:style>
  <w:style w:type="paragraph" w:styleId="BalloonText">
    <w:name w:val="Balloon Text"/>
    <w:uiPriority w:val="99"/>
    <w:semiHidden/>
    <w:unhideWhenUsed/>
    <w:link w:val="TekstdymkaZnak"/>
    <w:rsid w:val="004f0fc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dzina.gov.pl/duza-rodzina" TargetMode="External"/><Relationship Id="rId4" Type="http://schemas.openxmlformats.org/officeDocument/2006/relationships/hyperlink" Target="http://ugtrawniki.bip.lubelskie.pl/index.php?id=110&amp;akcja=szczegoly&amp;p2=807187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2014-07-04T08:04:00Z</dcterms:created>
  <dc:creator>ICom</dc:creator>
  <dc:language>pl-PL</dc:language>
  <cp:lastModifiedBy>ICom</cp:lastModifiedBy>
  <cp:lastPrinted>2014-07-04T08:27:00Z</cp:lastPrinted>
  <dcterms:modified xsi:type="dcterms:W3CDTF">2014-07-04T08:54:00Z</dcterms:modified>
  <cp:revision>5</cp:revision>
</cp:coreProperties>
</file>