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223F1F09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 xml:space="preserve">Załącznik nr </w:t>
      </w:r>
      <w:r w:rsidR="000C0D0A">
        <w:rPr>
          <w:b/>
          <w:bCs/>
        </w:rPr>
        <w:t>2</w:t>
      </w:r>
      <w:bookmarkStart w:id="0" w:name="_GoBack"/>
      <w:bookmarkEnd w:id="0"/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7406E" w14:textId="77777777" w:rsidR="006C139D" w:rsidRDefault="006C139D" w:rsidP="00B8414F">
      <w:r>
        <w:separator/>
      </w:r>
    </w:p>
  </w:endnote>
  <w:endnote w:type="continuationSeparator" w:id="0">
    <w:p w14:paraId="4C5C9648" w14:textId="77777777" w:rsidR="006C139D" w:rsidRDefault="006C139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0C0D0A">
      <w:rPr>
        <w:noProof/>
      </w:rPr>
      <w:t>11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4DF00" w14:textId="77777777" w:rsidR="006C139D" w:rsidRDefault="006C139D" w:rsidP="00B8414F">
      <w:r>
        <w:separator/>
      </w:r>
    </w:p>
  </w:footnote>
  <w:footnote w:type="continuationSeparator" w:id="0">
    <w:p w14:paraId="43C05F5D" w14:textId="77777777" w:rsidR="006C139D" w:rsidRDefault="006C139D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0D0A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25F2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03253-540B-4E56-A39D-C7DE9057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3183</Words>
  <Characters>21917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BDzirba</cp:lastModifiedBy>
  <cp:revision>3</cp:revision>
  <cp:lastPrinted>2018-10-09T16:49:00Z</cp:lastPrinted>
  <dcterms:created xsi:type="dcterms:W3CDTF">2020-02-13T10:13:00Z</dcterms:created>
  <dcterms:modified xsi:type="dcterms:W3CDTF">2020-02-13T10:18:00Z</dcterms:modified>
</cp:coreProperties>
</file>